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AB" w:rsidRDefault="007E2FAB" w:rsidP="0033794B">
      <w:pPr>
        <w:jc w:val="center"/>
        <w:rPr>
          <w:color w:val="333333"/>
          <w:u w:val="single"/>
        </w:rPr>
      </w:pPr>
      <w:bookmarkStart w:id="0" w:name="_GoBack"/>
      <w:bookmarkEnd w:id="0"/>
      <w:r>
        <w:rPr>
          <w:color w:val="333333"/>
          <w:u w:val="single"/>
        </w:rPr>
        <w:t>Patient Reference Group Profile and Representation 2012</w:t>
      </w:r>
    </w:p>
    <w:p w:rsidR="007E2FAB" w:rsidRDefault="007E2FAB" w:rsidP="0033794B">
      <w:pPr>
        <w:jc w:val="center"/>
        <w:rPr>
          <w:color w:val="333333"/>
          <w:u w:val="single"/>
        </w:rPr>
      </w:pPr>
    </w:p>
    <w:p w:rsidR="007E2FAB" w:rsidRDefault="007E2FAB" w:rsidP="0033794B">
      <w:pPr>
        <w:jc w:val="center"/>
        <w:rPr>
          <w:color w:val="333333"/>
        </w:rPr>
      </w:pPr>
      <w:r>
        <w:rPr>
          <w:color w:val="333333"/>
        </w:rPr>
        <w:t>The Ashdown Forest Health Centre PRG consists of 28 members which can be broken down as follows:</w:t>
      </w:r>
    </w:p>
    <w:p w:rsidR="007E2FAB" w:rsidRDefault="007E2FAB" w:rsidP="0033794B">
      <w:pPr>
        <w:jc w:val="center"/>
        <w:rPr>
          <w:color w:val="333333"/>
        </w:rPr>
      </w:pPr>
    </w:p>
    <w:p w:rsidR="007E2FAB" w:rsidRPr="009B615A" w:rsidRDefault="007E2FAB" w:rsidP="0033794B">
      <w:pPr>
        <w:rPr>
          <w:color w:val="333333"/>
          <w:u w:val="single"/>
        </w:rPr>
      </w:pPr>
      <w:r w:rsidRPr="009B615A">
        <w:rPr>
          <w:color w:val="333333"/>
          <w:u w:val="single"/>
        </w:rPr>
        <w:t>Sex</w:t>
      </w:r>
      <w:r>
        <w:rPr>
          <w:color w:val="333333"/>
          <w:u w:val="single"/>
        </w:rPr>
        <w:t>:</w:t>
      </w:r>
    </w:p>
    <w:p w:rsidR="007E2FAB" w:rsidRDefault="007E2FAB" w:rsidP="0033794B">
      <w:pPr>
        <w:rPr>
          <w:color w:val="333333"/>
        </w:rPr>
      </w:pPr>
      <w:r>
        <w:rPr>
          <w:color w:val="333333"/>
        </w:rPr>
        <w:t>Female 14</w:t>
      </w:r>
    </w:p>
    <w:p w:rsidR="007E2FAB" w:rsidRDefault="007E2FAB" w:rsidP="0033794B">
      <w:pPr>
        <w:rPr>
          <w:color w:val="333333"/>
        </w:rPr>
      </w:pPr>
      <w:r>
        <w:rPr>
          <w:color w:val="333333"/>
        </w:rPr>
        <w:t>Male 14</w:t>
      </w:r>
    </w:p>
    <w:p w:rsidR="007E2FAB" w:rsidRDefault="007E2FAB" w:rsidP="0033794B">
      <w:pPr>
        <w:rPr>
          <w:color w:val="333333"/>
        </w:rPr>
      </w:pPr>
    </w:p>
    <w:p w:rsidR="007E2FAB" w:rsidRDefault="007E2FAB" w:rsidP="0033794B">
      <w:pPr>
        <w:rPr>
          <w:color w:val="333333"/>
          <w:u w:val="single"/>
        </w:rPr>
      </w:pPr>
      <w:r w:rsidRPr="009B615A">
        <w:rPr>
          <w:color w:val="333333"/>
          <w:u w:val="single"/>
        </w:rPr>
        <w:t>Age:</w:t>
      </w:r>
    </w:p>
    <w:p w:rsidR="007E2FAB" w:rsidRPr="009B615A" w:rsidRDefault="007E2FAB" w:rsidP="0033794B">
      <w:pPr>
        <w:rPr>
          <w:color w:val="333333"/>
        </w:rPr>
      </w:pPr>
      <w:r w:rsidRPr="009B615A">
        <w:rPr>
          <w:color w:val="333333"/>
        </w:rPr>
        <w:t>Under 50 – 2</w:t>
      </w:r>
    </w:p>
    <w:p w:rsidR="007E2FAB" w:rsidRDefault="007E2FAB" w:rsidP="0033794B">
      <w:pPr>
        <w:rPr>
          <w:color w:val="333333"/>
        </w:rPr>
      </w:pPr>
      <w:r w:rsidRPr="009B615A">
        <w:rPr>
          <w:color w:val="333333"/>
        </w:rPr>
        <w:t xml:space="preserve">Over 50 </w:t>
      </w:r>
      <w:r>
        <w:rPr>
          <w:color w:val="333333"/>
        </w:rPr>
        <w:t>–</w:t>
      </w:r>
      <w:r w:rsidRPr="009B615A">
        <w:rPr>
          <w:color w:val="333333"/>
        </w:rPr>
        <w:t xml:space="preserve"> 2</w:t>
      </w:r>
    </w:p>
    <w:p w:rsidR="007E2FAB" w:rsidRDefault="007E2FAB" w:rsidP="0033794B">
      <w:pPr>
        <w:rPr>
          <w:color w:val="333333"/>
        </w:rPr>
      </w:pPr>
    </w:p>
    <w:p w:rsidR="007E2FAB" w:rsidRDefault="007E2FAB" w:rsidP="0033794B">
      <w:pPr>
        <w:rPr>
          <w:color w:val="333333"/>
          <w:u w:val="single"/>
        </w:rPr>
      </w:pPr>
      <w:r>
        <w:rPr>
          <w:color w:val="333333"/>
          <w:u w:val="single"/>
        </w:rPr>
        <w:t>Ethnicity:</w:t>
      </w:r>
    </w:p>
    <w:p w:rsidR="007E2FAB" w:rsidRPr="009B615A" w:rsidRDefault="007E2FAB" w:rsidP="0033794B">
      <w:pPr>
        <w:rPr>
          <w:color w:val="333333"/>
        </w:rPr>
      </w:pPr>
      <w:r w:rsidRPr="009B615A">
        <w:rPr>
          <w:color w:val="333333"/>
        </w:rPr>
        <w:t>White British – 27</w:t>
      </w:r>
    </w:p>
    <w:p w:rsidR="007E2FAB" w:rsidRPr="009B615A" w:rsidRDefault="007E2FAB" w:rsidP="0033794B">
      <w:pPr>
        <w:rPr>
          <w:color w:val="333333"/>
        </w:rPr>
      </w:pPr>
      <w:r w:rsidRPr="009B615A">
        <w:rPr>
          <w:color w:val="333333"/>
        </w:rPr>
        <w:t>African - 1</w:t>
      </w:r>
    </w:p>
    <w:p w:rsidR="007E2FAB" w:rsidRDefault="007E2FAB" w:rsidP="0033794B">
      <w:pPr>
        <w:rPr>
          <w:color w:val="333333"/>
        </w:rPr>
      </w:pPr>
    </w:p>
    <w:p w:rsidR="007E2FAB" w:rsidRDefault="007E2FAB" w:rsidP="0033794B">
      <w:pPr>
        <w:rPr>
          <w:color w:val="333333"/>
          <w:u w:val="single"/>
        </w:rPr>
      </w:pPr>
      <w:r w:rsidRPr="009B615A">
        <w:rPr>
          <w:color w:val="333333"/>
          <w:u w:val="single"/>
        </w:rPr>
        <w:t>Registered with Disability:</w:t>
      </w:r>
    </w:p>
    <w:p w:rsidR="007E2FAB" w:rsidRPr="009B615A" w:rsidRDefault="007E2FAB" w:rsidP="0033794B">
      <w:pPr>
        <w:rPr>
          <w:color w:val="333333"/>
        </w:rPr>
      </w:pPr>
      <w:r w:rsidRPr="009B615A">
        <w:rPr>
          <w:color w:val="333333"/>
        </w:rPr>
        <w:t>4</w:t>
      </w:r>
    </w:p>
    <w:p w:rsidR="007E2FAB" w:rsidRDefault="007E2FAB" w:rsidP="0033794B">
      <w:pPr>
        <w:rPr>
          <w:color w:val="333333"/>
          <w:u w:val="single"/>
        </w:rPr>
      </w:pPr>
    </w:p>
    <w:p w:rsidR="007E2FAB" w:rsidRDefault="007E2FAB" w:rsidP="0033794B">
      <w:pPr>
        <w:rPr>
          <w:color w:val="333333"/>
          <w:u w:val="single"/>
        </w:rPr>
      </w:pPr>
      <w:r>
        <w:rPr>
          <w:color w:val="333333"/>
          <w:u w:val="single"/>
        </w:rPr>
        <w:t>Registered Carer</w:t>
      </w:r>
    </w:p>
    <w:p w:rsidR="007E2FAB" w:rsidRPr="009B615A" w:rsidRDefault="007E2FAB" w:rsidP="0033794B">
      <w:pPr>
        <w:rPr>
          <w:color w:val="333333"/>
        </w:rPr>
      </w:pPr>
      <w:r w:rsidRPr="009B615A">
        <w:rPr>
          <w:color w:val="333333"/>
        </w:rPr>
        <w:t>2</w:t>
      </w:r>
    </w:p>
    <w:p w:rsidR="007E2FAB" w:rsidRDefault="007E2FAB" w:rsidP="0033794B">
      <w:pPr>
        <w:rPr>
          <w:color w:val="333333"/>
        </w:rPr>
      </w:pPr>
    </w:p>
    <w:p w:rsidR="007E2FAB" w:rsidRDefault="007E2FAB" w:rsidP="0033794B">
      <w:pPr>
        <w:jc w:val="both"/>
        <w:rPr>
          <w:color w:val="333333"/>
        </w:rPr>
      </w:pPr>
      <w:r>
        <w:rPr>
          <w:color w:val="333333"/>
        </w:rPr>
        <w:t>We are very aware that we have no representation in the under 25 age range and majority of our members fall into the White British Category.</w:t>
      </w:r>
    </w:p>
    <w:p w:rsidR="007E2FAB" w:rsidRDefault="007E2FAB" w:rsidP="0033794B">
      <w:pPr>
        <w:jc w:val="both"/>
        <w:rPr>
          <w:color w:val="333333"/>
        </w:rPr>
      </w:pPr>
      <w:r>
        <w:rPr>
          <w:color w:val="333333"/>
        </w:rPr>
        <w:t>Our PRG is continuing to grow and, whilst we have a good spread in age groups, we are conscious that the PRG is not entirely representative of our practice population and we will address this by targeted contact with those in the lower age ranges and of an ethnic background.</w:t>
      </w:r>
    </w:p>
    <w:p w:rsidR="007E2FAB" w:rsidRDefault="007E2FAB" w:rsidP="0033794B">
      <w:pPr>
        <w:jc w:val="both"/>
        <w:rPr>
          <w:color w:val="333333"/>
        </w:rPr>
      </w:pPr>
    </w:p>
    <w:p w:rsidR="007E2FAB" w:rsidRDefault="007E2FAB" w:rsidP="0033794B">
      <w:pPr>
        <w:jc w:val="both"/>
        <w:rPr>
          <w:color w:val="333333"/>
        </w:rPr>
      </w:pPr>
      <w:r>
        <w:rPr>
          <w:color w:val="333333"/>
        </w:rPr>
        <w:t>In order to recruit for the PRG, clinicians canvassed patients during consultations; we wrote to patients, produced posters and leaflets in the waiting room and also included details online.  A Virtual PRG has been set up as it was felt that this would be the best way to reach a cross section of our patient population.  We believed it would be easier for both PRG members and the Practice to communicate via email/on-line surveys as opposed to many face to face meetings at the practice.</w:t>
      </w:r>
    </w:p>
    <w:p w:rsidR="007E2FAB" w:rsidRDefault="007E2FAB" w:rsidP="0033794B">
      <w:pPr>
        <w:jc w:val="both"/>
        <w:rPr>
          <w:color w:val="333333"/>
        </w:rPr>
      </w:pPr>
    </w:p>
    <w:p w:rsidR="007E2FAB" w:rsidRDefault="007E2FAB" w:rsidP="0033794B">
      <w:pPr>
        <w:jc w:val="both"/>
        <w:rPr>
          <w:rFonts w:cs="Arial"/>
          <w:bCs/>
          <w:u w:val="single"/>
        </w:rPr>
      </w:pPr>
      <w:r w:rsidRPr="0058308A">
        <w:rPr>
          <w:rFonts w:cs="Arial"/>
          <w:bCs/>
          <w:u w:val="single"/>
        </w:rPr>
        <w:t>Surgery Times</w:t>
      </w:r>
    </w:p>
    <w:p w:rsidR="007E2FAB" w:rsidRPr="0058308A" w:rsidRDefault="007E2FAB" w:rsidP="0033794B">
      <w:pPr>
        <w:jc w:val="both"/>
        <w:rPr>
          <w:u w:val="single"/>
        </w:rPr>
      </w:pPr>
    </w:p>
    <w:p w:rsidR="007E2FAB" w:rsidRPr="0058308A" w:rsidRDefault="007E2FAB" w:rsidP="0033794B">
      <w:pPr>
        <w:spacing w:line="330" w:lineRule="atLeast"/>
        <w:jc w:val="both"/>
      </w:pPr>
      <w:r w:rsidRPr="0058308A">
        <w:rPr>
          <w:rFonts w:cs="Arial"/>
        </w:rPr>
        <w:t xml:space="preserve">The Health Centre is open Monday 8.30am </w:t>
      </w:r>
      <w:r>
        <w:rPr>
          <w:rFonts w:cs="Arial"/>
        </w:rPr>
        <w:t>–</w:t>
      </w:r>
      <w:r w:rsidRPr="0058308A">
        <w:rPr>
          <w:rFonts w:cs="Arial"/>
        </w:rPr>
        <w:t xml:space="preserve"> </w:t>
      </w:r>
      <w:r>
        <w:rPr>
          <w:rFonts w:cs="Arial"/>
        </w:rPr>
        <w:t xml:space="preserve">6.30pm, with extended hours until 7.30pm. </w:t>
      </w:r>
      <w:r w:rsidRPr="0058308A">
        <w:rPr>
          <w:rFonts w:cs="Arial"/>
        </w:rPr>
        <w:t>Tuesday to Friday 8.30am - 6.30pm and closed daily between 12.30 - 1.30pm. We are also open alte</w:t>
      </w:r>
      <w:r>
        <w:rPr>
          <w:rFonts w:cs="Arial"/>
        </w:rPr>
        <w:t>rnate Saturdays 9.00 - 11.30am as an extended service to our patients.</w:t>
      </w:r>
    </w:p>
    <w:p w:rsidR="007E2FAB" w:rsidRPr="0058308A" w:rsidRDefault="007E2FAB" w:rsidP="0033794B">
      <w:pPr>
        <w:spacing w:line="330" w:lineRule="atLeast"/>
        <w:jc w:val="both"/>
      </w:pPr>
      <w:r w:rsidRPr="0058308A">
        <w:rPr>
          <w:rFonts w:cs="Arial"/>
        </w:rPr>
        <w:t xml:space="preserve">All the doctors are approved by the Primary Care Trust to provide the following services: maternity medical services, child health surveillance, contraceptive services, minor surgery services. Please check with our reception for all surgery and </w:t>
      </w:r>
      <w:r w:rsidRPr="0058308A">
        <w:rPr>
          <w:rFonts w:cs="Arial"/>
        </w:rPr>
        <w:lastRenderedPageBreak/>
        <w:t>clinic times before coming to the health centre for an appointment. Each day one doctor is our duty doctor to deal with urgent appointments and visits, so surgery times can change as that doctor will be less available for non-urgent appointments.</w:t>
      </w:r>
      <w:r w:rsidRPr="0058308A">
        <w:rPr>
          <w:rFonts w:cs="Arial"/>
        </w:rPr>
        <w:br/>
      </w:r>
      <w:r w:rsidRPr="0058308A">
        <w:rPr>
          <w:rFonts w:cs="Arial"/>
        </w:rPr>
        <w:br/>
        <w:t>Please telephone us after 9.00am for non-urgent enquiries. Remember the health centre is closed Monday to Friday 12.30 - 1.30pm.</w:t>
      </w:r>
      <w:r w:rsidRPr="0058308A">
        <w:t xml:space="preserve"> </w:t>
      </w:r>
    </w:p>
    <w:p w:rsidR="007E2FAB" w:rsidRDefault="007E2FAB" w:rsidP="0033794B">
      <w:pPr>
        <w:spacing w:line="330" w:lineRule="atLeast"/>
        <w:jc w:val="both"/>
        <w:rPr>
          <w:sz w:val="20"/>
          <w:szCs w:val="20"/>
        </w:rPr>
      </w:pPr>
    </w:p>
    <w:p w:rsidR="007E2FAB" w:rsidRPr="0058308A" w:rsidRDefault="007E2FAB" w:rsidP="0033794B">
      <w:pPr>
        <w:spacing w:line="330" w:lineRule="atLeast"/>
        <w:jc w:val="both"/>
        <w:rPr>
          <w:sz w:val="20"/>
          <w:szCs w:val="20"/>
        </w:rPr>
      </w:pPr>
    </w:p>
    <w:tbl>
      <w:tblPr>
        <w:tblW w:w="0" w:type="auto"/>
        <w:tblCellSpacing w:w="0" w:type="dxa"/>
        <w:tblCellMar>
          <w:left w:w="0" w:type="dxa"/>
          <w:right w:w="0" w:type="dxa"/>
        </w:tblCellMar>
        <w:tblLook w:val="0000" w:firstRow="0" w:lastRow="0" w:firstColumn="0" w:lastColumn="0" w:noHBand="0" w:noVBand="0"/>
      </w:tblPr>
      <w:tblGrid>
        <w:gridCol w:w="8366"/>
      </w:tblGrid>
      <w:tr w:rsidR="007E2FAB" w:rsidRPr="0058308A" w:rsidTr="00F57456">
        <w:trPr>
          <w:tblCellSpacing w:w="0" w:type="dxa"/>
        </w:trPr>
        <w:tc>
          <w:tcPr>
            <w:tcW w:w="0" w:type="auto"/>
            <w:shd w:val="clear" w:color="auto" w:fill="008D7B"/>
            <w:tcMar>
              <w:top w:w="30" w:type="dxa"/>
              <w:left w:w="30" w:type="dxa"/>
              <w:bottom w:w="30" w:type="dxa"/>
              <w:right w:w="30" w:type="dxa"/>
            </w:tcMar>
            <w:vAlign w:val="center"/>
          </w:tcPr>
          <w:tbl>
            <w:tblPr>
              <w:tblW w:w="0" w:type="auto"/>
              <w:tblCellSpacing w:w="15" w:type="dxa"/>
              <w:tblCellMar>
                <w:top w:w="45" w:type="dxa"/>
                <w:left w:w="45" w:type="dxa"/>
                <w:bottom w:w="45" w:type="dxa"/>
                <w:right w:w="45" w:type="dxa"/>
              </w:tblCellMar>
              <w:tblLook w:val="0000" w:firstRow="0" w:lastRow="0" w:firstColumn="0" w:lastColumn="0" w:noHBand="0" w:noVBand="0"/>
            </w:tblPr>
            <w:tblGrid>
              <w:gridCol w:w="1790"/>
              <w:gridCol w:w="1288"/>
              <w:gridCol w:w="1287"/>
              <w:gridCol w:w="1385"/>
              <w:gridCol w:w="1313"/>
              <w:gridCol w:w="1243"/>
            </w:tblGrid>
            <w:tr w:rsidR="007E2FAB" w:rsidRPr="0058308A" w:rsidTr="0033794B">
              <w:trPr>
                <w:tblCellSpacing w:w="15" w:type="dxa"/>
              </w:trPr>
              <w:tc>
                <w:tcPr>
                  <w:tcW w:w="1745"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 </w:t>
                  </w:r>
                </w:p>
              </w:tc>
              <w:tc>
                <w:tcPr>
                  <w:tcW w:w="1258"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b/>
                      <w:bCs/>
                      <w:sz w:val="20"/>
                    </w:rPr>
                    <w:t>Monday</w:t>
                  </w:r>
                </w:p>
              </w:tc>
              <w:tc>
                <w:tcPr>
                  <w:tcW w:w="1257"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b/>
                      <w:bCs/>
                      <w:sz w:val="20"/>
                    </w:rPr>
                    <w:t>Tuesday</w:t>
                  </w:r>
                </w:p>
              </w:tc>
              <w:tc>
                <w:tcPr>
                  <w:tcW w:w="1355"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b/>
                      <w:bCs/>
                      <w:sz w:val="20"/>
                    </w:rPr>
                    <w:t>Wednesday</w:t>
                  </w:r>
                </w:p>
              </w:tc>
              <w:tc>
                <w:tcPr>
                  <w:tcW w:w="1283"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b/>
                      <w:bCs/>
                      <w:sz w:val="20"/>
                    </w:rPr>
                    <w:t>Thursday</w:t>
                  </w:r>
                </w:p>
              </w:tc>
              <w:tc>
                <w:tcPr>
                  <w:tcW w:w="1198" w:type="dxa"/>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b/>
                      <w:bCs/>
                      <w:sz w:val="20"/>
                    </w:rPr>
                    <w:t>Friday</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Dr S A Miller</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3.00 - 5.00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Dr R J Baxter</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3.00 - 5.00</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Dr J A Baseley</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3.00 - 5.00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Dr A L A Fyfe</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3.00 - 5.00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 xml:space="preserve">Dr K C Rose </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9.00 - 12.00</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5.30 - 7.30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4.00 - 6.00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3.00 - 5.00</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r w:rsidRPr="0058308A">
                    <w:rPr>
                      <w:rFonts w:cs="Arial"/>
                      <w:b/>
                      <w:bCs/>
                      <w:color w:val="FFFFFF"/>
                      <w:sz w:val="20"/>
                      <w:szCs w:val="20"/>
                    </w:rPr>
                    <w:t>Practice Nurse</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8.30 - 12.30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8.30 - 12.30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9.00 - 12.30</w:t>
                  </w:r>
                </w:p>
              </w:tc>
            </w:tr>
            <w:tr w:rsidR="007E2FAB" w:rsidRPr="0058308A" w:rsidTr="0033794B">
              <w:trPr>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1.30 - 5.30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2.00 - 5.30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1.30 - 5.30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2.00 - 5.30</w:t>
                  </w: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r w:rsidRPr="0058308A">
                    <w:rPr>
                      <w:rFonts w:cs="Arial"/>
                      <w:sz w:val="20"/>
                      <w:szCs w:val="20"/>
                    </w:rPr>
                    <w:t>1.30 - 5.30</w:t>
                  </w:r>
                </w:p>
              </w:tc>
            </w:tr>
            <w:tr w:rsidR="007E2FAB" w:rsidRPr="0058308A" w:rsidTr="0033794B">
              <w:trPr>
                <w:tblCellSpacing w:w="15" w:type="dxa"/>
              </w:trPr>
              <w:tc>
                <w:tcPr>
                  <w:tcW w:w="0" w:type="auto"/>
                  <w:vMerge w:val="restart"/>
                  <w:tcBorders>
                    <w:top w:val="nil"/>
                    <w:left w:val="nil"/>
                    <w:bottom w:val="nil"/>
                    <w:right w:val="nil"/>
                  </w:tcBorders>
                  <w:shd w:val="clear" w:color="auto" w:fill="007763"/>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r>
            <w:tr w:rsidR="007E2FAB" w:rsidRPr="0058308A" w:rsidTr="0033794B">
              <w:trPr>
                <w:trHeight w:val="20"/>
                <w:tblCellSpacing w:w="15" w:type="dxa"/>
              </w:trPr>
              <w:tc>
                <w:tcPr>
                  <w:tcW w:w="0" w:type="auto"/>
                  <w:vMerge/>
                  <w:tcBorders>
                    <w:top w:val="nil"/>
                    <w:left w:val="nil"/>
                    <w:bottom w:val="nil"/>
                    <w:right w:val="nil"/>
                  </w:tcBorders>
                  <w:shd w:val="clear" w:color="auto" w:fill="FFFFFF"/>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c>
                <w:tcPr>
                  <w:tcW w:w="0" w:type="auto"/>
                  <w:tcBorders>
                    <w:top w:val="nil"/>
                    <w:left w:val="nil"/>
                    <w:bottom w:val="nil"/>
                    <w:right w:val="nil"/>
                  </w:tcBorders>
                  <w:shd w:val="clear" w:color="auto" w:fill="CCE4E0"/>
                  <w:vAlign w:val="center"/>
                </w:tcPr>
                <w:p w:rsidR="007E2FAB" w:rsidRPr="0058308A" w:rsidRDefault="007E2FAB" w:rsidP="0033794B">
                  <w:pPr>
                    <w:jc w:val="both"/>
                    <w:rPr>
                      <w:sz w:val="20"/>
                      <w:szCs w:val="20"/>
                    </w:rPr>
                  </w:pPr>
                </w:p>
              </w:tc>
            </w:tr>
          </w:tbl>
          <w:p w:rsidR="007E2FAB" w:rsidRPr="0058308A" w:rsidRDefault="007E2FAB" w:rsidP="0033794B">
            <w:pPr>
              <w:jc w:val="both"/>
              <w:rPr>
                <w:sz w:val="20"/>
                <w:szCs w:val="20"/>
              </w:rPr>
            </w:pPr>
          </w:p>
        </w:tc>
      </w:tr>
    </w:tbl>
    <w:p w:rsidR="007E2FAB" w:rsidRDefault="007E2FAB" w:rsidP="0033794B">
      <w:pPr>
        <w:jc w:val="both"/>
        <w:rPr>
          <w:color w:val="333333"/>
        </w:rPr>
      </w:pPr>
    </w:p>
    <w:p w:rsidR="007E2FAB" w:rsidRPr="009B615A" w:rsidRDefault="007E2FAB" w:rsidP="0033794B">
      <w:pPr>
        <w:jc w:val="both"/>
        <w:rPr>
          <w:color w:val="333333"/>
        </w:rPr>
      </w:pPr>
    </w:p>
    <w:p w:rsidR="007E2FAB" w:rsidRDefault="007E2FAB" w:rsidP="0033794B">
      <w:pPr>
        <w:jc w:val="both"/>
        <w:rPr>
          <w:color w:val="333333"/>
          <w:u w:val="single"/>
        </w:rPr>
      </w:pPr>
      <w:r>
        <w:rPr>
          <w:color w:val="333333"/>
          <w:u w:val="single"/>
        </w:rPr>
        <w:t>Action Plan – Survey 2012</w:t>
      </w:r>
    </w:p>
    <w:p w:rsidR="007E2FAB" w:rsidRDefault="007E2FAB" w:rsidP="0033794B">
      <w:pPr>
        <w:jc w:val="both"/>
        <w:rPr>
          <w:color w:val="333333"/>
          <w:u w:val="single"/>
        </w:rPr>
      </w:pPr>
    </w:p>
    <w:p w:rsidR="007E2FAB" w:rsidRDefault="007E2FAB" w:rsidP="0033794B">
      <w:pPr>
        <w:jc w:val="both"/>
        <w:rPr>
          <w:color w:val="333333"/>
        </w:rPr>
      </w:pPr>
      <w:r>
        <w:rPr>
          <w:color w:val="333333"/>
        </w:rPr>
        <w:t>Following a meeting held at the practice on Saturday 17</w:t>
      </w:r>
      <w:r w:rsidRPr="005A426D">
        <w:rPr>
          <w:color w:val="333333"/>
          <w:vertAlign w:val="superscript"/>
        </w:rPr>
        <w:t>th</w:t>
      </w:r>
      <w:r>
        <w:rPr>
          <w:color w:val="333333"/>
        </w:rPr>
        <w:t xml:space="preserve"> March 2012, it was felt the main areas of the survey results to focus on were: Telephone availability, Doctor Choice and Health Education.  It was widely felt that “Communication” is the key to improving services at Ashdown Forest Health Centre.  Communication to both patients and staff is vital and the agreed format will be implemented.</w:t>
      </w:r>
    </w:p>
    <w:p w:rsidR="007E2FAB" w:rsidRDefault="007E2FAB" w:rsidP="0033794B">
      <w:pPr>
        <w:jc w:val="both"/>
        <w:rPr>
          <w:color w:val="333333"/>
        </w:rPr>
      </w:pPr>
    </w:p>
    <w:p w:rsidR="007E2FAB" w:rsidRPr="00DD0AE6" w:rsidRDefault="007E2FAB" w:rsidP="0033794B">
      <w:pPr>
        <w:jc w:val="both"/>
        <w:rPr>
          <w:color w:val="0000FF"/>
          <w:u w:val="single"/>
        </w:rPr>
      </w:pPr>
      <w:r>
        <w:rPr>
          <w:color w:val="0000FF"/>
          <w:u w:val="single"/>
        </w:rPr>
        <w:t xml:space="preserve">Improved </w:t>
      </w:r>
      <w:r w:rsidRPr="00DD0AE6">
        <w:rPr>
          <w:color w:val="0000FF"/>
          <w:u w:val="single"/>
        </w:rPr>
        <w:t>Communication to patients:</w:t>
      </w:r>
    </w:p>
    <w:p w:rsidR="007E2FAB" w:rsidRPr="00DD0AE6" w:rsidRDefault="007E2FAB" w:rsidP="0033794B">
      <w:pPr>
        <w:jc w:val="both"/>
        <w:rPr>
          <w:color w:val="0000FF"/>
          <w:u w:val="single"/>
        </w:rPr>
      </w:pPr>
    </w:p>
    <w:p w:rsidR="007E2FAB" w:rsidRPr="00DD0AE6" w:rsidRDefault="007E2FAB" w:rsidP="0033794B">
      <w:pPr>
        <w:numPr>
          <w:ilvl w:val="0"/>
          <w:numId w:val="1"/>
        </w:numPr>
        <w:jc w:val="both"/>
        <w:rPr>
          <w:color w:val="0000FF"/>
          <w:u w:val="single"/>
        </w:rPr>
      </w:pPr>
      <w:r w:rsidRPr="00DD0AE6">
        <w:rPr>
          <w:color w:val="0000FF"/>
        </w:rPr>
        <w:t>Understanding of services available (including health checks</w:t>
      </w:r>
      <w:r>
        <w:rPr>
          <w:color w:val="0000FF"/>
        </w:rPr>
        <w:t xml:space="preserve"> and areas of expertise)</w:t>
      </w:r>
    </w:p>
    <w:p w:rsidR="007E2FAB" w:rsidRPr="00DD0AE6" w:rsidRDefault="007E2FAB" w:rsidP="0033794B">
      <w:pPr>
        <w:numPr>
          <w:ilvl w:val="0"/>
          <w:numId w:val="1"/>
        </w:numPr>
        <w:jc w:val="both"/>
        <w:rPr>
          <w:color w:val="0000FF"/>
          <w:u w:val="single"/>
        </w:rPr>
      </w:pPr>
      <w:r w:rsidRPr="00DD0AE6">
        <w:rPr>
          <w:color w:val="0000FF"/>
        </w:rPr>
        <w:t>Understanding of appointment system and choice of doctor.</w:t>
      </w:r>
    </w:p>
    <w:p w:rsidR="007E2FAB" w:rsidRPr="00DD0AE6" w:rsidRDefault="007E2FAB" w:rsidP="0033794B">
      <w:pPr>
        <w:numPr>
          <w:ilvl w:val="0"/>
          <w:numId w:val="1"/>
        </w:numPr>
        <w:jc w:val="both"/>
        <w:rPr>
          <w:color w:val="0000FF"/>
          <w:u w:val="single"/>
        </w:rPr>
      </w:pPr>
      <w:r w:rsidRPr="00DD0AE6">
        <w:rPr>
          <w:color w:val="0000FF"/>
        </w:rPr>
        <w:t>Opening times.</w:t>
      </w:r>
    </w:p>
    <w:p w:rsidR="007E2FAB" w:rsidRPr="00DD0AE6" w:rsidRDefault="007E2FAB" w:rsidP="0033794B">
      <w:pPr>
        <w:numPr>
          <w:ilvl w:val="0"/>
          <w:numId w:val="1"/>
        </w:numPr>
        <w:jc w:val="both"/>
        <w:rPr>
          <w:color w:val="0000FF"/>
          <w:u w:val="single"/>
        </w:rPr>
      </w:pPr>
      <w:r w:rsidRPr="00DD0AE6">
        <w:rPr>
          <w:color w:val="0000FF"/>
        </w:rPr>
        <w:t>Wider population.</w:t>
      </w:r>
    </w:p>
    <w:p w:rsidR="007E2FAB" w:rsidRPr="00DD0AE6" w:rsidRDefault="007E2FAB" w:rsidP="0033794B">
      <w:pPr>
        <w:numPr>
          <w:ilvl w:val="0"/>
          <w:numId w:val="1"/>
        </w:numPr>
        <w:jc w:val="both"/>
        <w:rPr>
          <w:color w:val="0000FF"/>
          <w:u w:val="single"/>
        </w:rPr>
      </w:pPr>
      <w:r w:rsidRPr="00DD0AE6">
        <w:rPr>
          <w:color w:val="0000FF"/>
        </w:rPr>
        <w:t>Registered doctor understanding.</w:t>
      </w:r>
    </w:p>
    <w:p w:rsidR="007E2FAB" w:rsidRDefault="007E2FAB" w:rsidP="0033794B">
      <w:pPr>
        <w:jc w:val="both"/>
        <w:rPr>
          <w:color w:val="333333"/>
        </w:rPr>
      </w:pPr>
    </w:p>
    <w:p w:rsidR="007E2FAB" w:rsidRDefault="007E2FAB" w:rsidP="0033794B">
      <w:pPr>
        <w:jc w:val="both"/>
        <w:rPr>
          <w:color w:val="333333"/>
        </w:rPr>
      </w:pPr>
      <w:r>
        <w:rPr>
          <w:color w:val="333333"/>
        </w:rPr>
        <w:lastRenderedPageBreak/>
        <w:t>The above topics will be communicated to patients via the practice web site, practice leaflet, installation of medical TV in the waiting room, local advertising (parish magazine).  In addition and forming phase 2, it was agreed that the practice will analyse patient data in order to highlight “Infrequent visitors” to the practice so that the next survey has a better uptake.  Email capture and mobile numbers are to be reviewed and staff encouraged to opportunistically capture additional patient data.</w:t>
      </w:r>
    </w:p>
    <w:p w:rsidR="007E2FAB" w:rsidRDefault="007E2FAB" w:rsidP="0033794B">
      <w:pPr>
        <w:jc w:val="both"/>
        <w:rPr>
          <w:color w:val="333333"/>
        </w:rPr>
      </w:pPr>
    </w:p>
    <w:p w:rsidR="007E2FAB" w:rsidRPr="00DD0AE6" w:rsidRDefault="007E2FAB" w:rsidP="0033794B">
      <w:pPr>
        <w:jc w:val="both"/>
        <w:rPr>
          <w:color w:val="0000FF"/>
          <w:u w:val="single"/>
        </w:rPr>
      </w:pPr>
      <w:r>
        <w:rPr>
          <w:color w:val="0000FF"/>
          <w:u w:val="single"/>
        </w:rPr>
        <w:t xml:space="preserve">Improved </w:t>
      </w:r>
      <w:r w:rsidRPr="00DD0AE6">
        <w:rPr>
          <w:color w:val="0000FF"/>
          <w:u w:val="single"/>
        </w:rPr>
        <w:t>Communication to staff:</w:t>
      </w:r>
    </w:p>
    <w:p w:rsidR="007E2FAB" w:rsidRPr="00DD0AE6" w:rsidRDefault="007E2FAB" w:rsidP="0033794B">
      <w:pPr>
        <w:jc w:val="both"/>
        <w:rPr>
          <w:color w:val="0000FF"/>
          <w:u w:val="single"/>
        </w:rPr>
      </w:pPr>
    </w:p>
    <w:p w:rsidR="007E2FAB" w:rsidRPr="00DD0AE6" w:rsidRDefault="007E2FAB" w:rsidP="0033794B">
      <w:pPr>
        <w:numPr>
          <w:ilvl w:val="0"/>
          <w:numId w:val="2"/>
        </w:numPr>
        <w:jc w:val="both"/>
        <w:rPr>
          <w:color w:val="0000FF"/>
          <w:u w:val="single"/>
        </w:rPr>
      </w:pPr>
      <w:r w:rsidRPr="00DD0AE6">
        <w:rPr>
          <w:color w:val="0000FF"/>
        </w:rPr>
        <w:t>Clarification and communication of services</w:t>
      </w:r>
      <w:r>
        <w:rPr>
          <w:color w:val="0000FF"/>
        </w:rPr>
        <w:t xml:space="preserve"> (continuity)</w:t>
      </w:r>
    </w:p>
    <w:p w:rsidR="007E2FAB" w:rsidRPr="00DD0AE6" w:rsidRDefault="007E2FAB" w:rsidP="0033794B">
      <w:pPr>
        <w:numPr>
          <w:ilvl w:val="0"/>
          <w:numId w:val="2"/>
        </w:numPr>
        <w:jc w:val="both"/>
        <w:rPr>
          <w:color w:val="0000FF"/>
          <w:u w:val="single"/>
        </w:rPr>
      </w:pPr>
      <w:r w:rsidRPr="00DD0AE6">
        <w:rPr>
          <w:color w:val="0000FF"/>
        </w:rPr>
        <w:t>Opportunistic data capture</w:t>
      </w:r>
    </w:p>
    <w:p w:rsidR="007E2FAB" w:rsidRPr="00DD0AE6" w:rsidRDefault="007E2FAB" w:rsidP="0033794B">
      <w:pPr>
        <w:numPr>
          <w:ilvl w:val="0"/>
          <w:numId w:val="2"/>
        </w:numPr>
        <w:jc w:val="both"/>
        <w:rPr>
          <w:color w:val="0000FF"/>
          <w:u w:val="single"/>
        </w:rPr>
      </w:pPr>
      <w:r w:rsidRPr="00DD0AE6">
        <w:rPr>
          <w:color w:val="0000FF"/>
        </w:rPr>
        <w:t>Praise (results of survey)</w:t>
      </w:r>
    </w:p>
    <w:p w:rsidR="007E2FAB" w:rsidRPr="00DD0AE6" w:rsidRDefault="007E2FAB" w:rsidP="0033794B">
      <w:pPr>
        <w:numPr>
          <w:ilvl w:val="0"/>
          <w:numId w:val="2"/>
        </w:numPr>
        <w:jc w:val="both"/>
        <w:rPr>
          <w:color w:val="0000FF"/>
          <w:u w:val="single"/>
        </w:rPr>
      </w:pPr>
      <w:r w:rsidRPr="00DD0AE6">
        <w:rPr>
          <w:color w:val="0000FF"/>
        </w:rPr>
        <w:t>Protected training to cover results</w:t>
      </w:r>
    </w:p>
    <w:p w:rsidR="007E2FAB" w:rsidRPr="00597F18" w:rsidRDefault="007E2FAB" w:rsidP="0033794B">
      <w:pPr>
        <w:numPr>
          <w:ilvl w:val="0"/>
          <w:numId w:val="2"/>
        </w:numPr>
        <w:jc w:val="both"/>
        <w:rPr>
          <w:color w:val="0000FF"/>
          <w:u w:val="single"/>
        </w:rPr>
      </w:pPr>
      <w:r w:rsidRPr="00DD0AE6">
        <w:rPr>
          <w:color w:val="0000FF"/>
        </w:rPr>
        <w:t>Introduction of “Individual Patient Care Project” – This is a PRG agreed initiative that will highlight to staff patients with sensitive needs</w:t>
      </w:r>
      <w:r>
        <w:rPr>
          <w:color w:val="0000FF"/>
        </w:rPr>
        <w:t>.</w:t>
      </w:r>
    </w:p>
    <w:p w:rsidR="007E2FAB" w:rsidRDefault="007E2FAB" w:rsidP="0033794B">
      <w:pPr>
        <w:jc w:val="both"/>
        <w:rPr>
          <w:color w:val="0000FF"/>
        </w:rPr>
      </w:pPr>
    </w:p>
    <w:p w:rsidR="007E2FAB" w:rsidRDefault="007E2FAB" w:rsidP="0033794B">
      <w:pPr>
        <w:jc w:val="both"/>
      </w:pPr>
      <w:r>
        <w:t>Phase 2</w:t>
      </w:r>
    </w:p>
    <w:p w:rsidR="007E2FAB" w:rsidRDefault="007E2FAB" w:rsidP="0033794B">
      <w:pPr>
        <w:jc w:val="both"/>
      </w:pPr>
    </w:p>
    <w:p w:rsidR="007E2FAB" w:rsidRDefault="007E2FAB" w:rsidP="0033794B">
      <w:pPr>
        <w:jc w:val="both"/>
      </w:pPr>
      <w:r>
        <w:t>It was agreed that implementation of phase 2 will wait until after the practice refurbishment; the following time scale was agreed:</w:t>
      </w:r>
    </w:p>
    <w:p w:rsidR="007E2FAB" w:rsidRDefault="007E2FAB" w:rsidP="0033794B">
      <w:pPr>
        <w:jc w:val="both"/>
      </w:pPr>
    </w:p>
    <w:p w:rsidR="007E2FAB" w:rsidRDefault="007E2FAB" w:rsidP="0033794B">
      <w:pPr>
        <w:jc w:val="both"/>
      </w:pPr>
      <w:r>
        <w:t>Phase 2 initial meeting to agree phase 2 survey and format-</w:t>
      </w:r>
      <w:r>
        <w:tab/>
        <w:t>July 2012</w:t>
      </w:r>
    </w:p>
    <w:p w:rsidR="007E2FAB" w:rsidRDefault="007E2FAB" w:rsidP="0033794B">
      <w:pPr>
        <w:jc w:val="both"/>
      </w:pPr>
    </w:p>
    <w:p w:rsidR="007E2FAB" w:rsidRDefault="007E2FAB" w:rsidP="0033794B">
      <w:pPr>
        <w:jc w:val="both"/>
      </w:pPr>
      <w:r>
        <w:t>Distribute and collate survey</w:t>
      </w:r>
      <w:r>
        <w:tab/>
      </w:r>
      <w:r>
        <w:tab/>
      </w:r>
      <w:r>
        <w:tab/>
      </w:r>
      <w:r>
        <w:tab/>
      </w:r>
      <w:r>
        <w:tab/>
        <w:t>-</w:t>
      </w:r>
      <w:r>
        <w:tab/>
        <w:t>Aug – Nov 2012</w:t>
      </w:r>
    </w:p>
    <w:p w:rsidR="007E2FAB" w:rsidRDefault="007E2FAB" w:rsidP="0033794B">
      <w:pPr>
        <w:jc w:val="both"/>
      </w:pPr>
    </w:p>
    <w:p w:rsidR="007E2FAB" w:rsidRDefault="007E2FAB" w:rsidP="0033794B">
      <w:pPr>
        <w:jc w:val="both"/>
      </w:pPr>
      <w:r>
        <w:t>Discuss results and form action plan</w:t>
      </w:r>
      <w:r>
        <w:tab/>
      </w:r>
      <w:r>
        <w:tab/>
      </w:r>
      <w:r>
        <w:tab/>
      </w:r>
      <w:r>
        <w:tab/>
        <w:t>-</w:t>
      </w:r>
      <w:r>
        <w:tab/>
        <w:t>Jan 2013</w:t>
      </w:r>
    </w:p>
    <w:p w:rsidR="007E2FAB" w:rsidRDefault="007E2FAB" w:rsidP="0033794B">
      <w:pPr>
        <w:jc w:val="both"/>
      </w:pPr>
    </w:p>
    <w:p w:rsidR="007E2FAB" w:rsidRDefault="007E2FAB" w:rsidP="0033794B">
      <w:pPr>
        <w:jc w:val="both"/>
      </w:pPr>
      <w:r>
        <w:t>Publicise results and action plan implementation</w:t>
      </w:r>
      <w:r>
        <w:tab/>
      </w:r>
      <w:r>
        <w:tab/>
        <w:t>-</w:t>
      </w:r>
      <w:r>
        <w:tab/>
        <w:t>Feb</w:t>
      </w:r>
    </w:p>
    <w:sectPr w:rsidR="007E2FAB" w:rsidSect="007E2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B4318"/>
    <w:multiLevelType w:val="hybridMultilevel"/>
    <w:tmpl w:val="6584D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55698A"/>
    <w:multiLevelType w:val="hybridMultilevel"/>
    <w:tmpl w:val="1CF2F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4B"/>
    <w:rsid w:val="00012870"/>
    <w:rsid w:val="00032DF5"/>
    <w:rsid w:val="000439E8"/>
    <w:rsid w:val="00080B38"/>
    <w:rsid w:val="000A43BA"/>
    <w:rsid w:val="000C573C"/>
    <w:rsid w:val="000D4A1F"/>
    <w:rsid w:val="000E10C4"/>
    <w:rsid w:val="001007E5"/>
    <w:rsid w:val="001178C6"/>
    <w:rsid w:val="00123BB1"/>
    <w:rsid w:val="001358BD"/>
    <w:rsid w:val="00140AE8"/>
    <w:rsid w:val="00176D3A"/>
    <w:rsid w:val="001A42A8"/>
    <w:rsid w:val="001B1D21"/>
    <w:rsid w:val="001B5693"/>
    <w:rsid w:val="001C08A8"/>
    <w:rsid w:val="00202D5B"/>
    <w:rsid w:val="00211A11"/>
    <w:rsid w:val="002140C3"/>
    <w:rsid w:val="0021586B"/>
    <w:rsid w:val="002172FD"/>
    <w:rsid w:val="00217455"/>
    <w:rsid w:val="00270487"/>
    <w:rsid w:val="002B044D"/>
    <w:rsid w:val="002C1039"/>
    <w:rsid w:val="002D0006"/>
    <w:rsid w:val="002E2AF7"/>
    <w:rsid w:val="002E50EE"/>
    <w:rsid w:val="00336036"/>
    <w:rsid w:val="0033794B"/>
    <w:rsid w:val="00342101"/>
    <w:rsid w:val="003701AD"/>
    <w:rsid w:val="00393BDB"/>
    <w:rsid w:val="003F2C05"/>
    <w:rsid w:val="004022FD"/>
    <w:rsid w:val="0041499C"/>
    <w:rsid w:val="004314FC"/>
    <w:rsid w:val="0044187E"/>
    <w:rsid w:val="00443911"/>
    <w:rsid w:val="00470CB0"/>
    <w:rsid w:val="00475953"/>
    <w:rsid w:val="00493BB7"/>
    <w:rsid w:val="004A2419"/>
    <w:rsid w:val="004C05BE"/>
    <w:rsid w:val="004D5677"/>
    <w:rsid w:val="004F2BAB"/>
    <w:rsid w:val="005200B8"/>
    <w:rsid w:val="00543A19"/>
    <w:rsid w:val="00544908"/>
    <w:rsid w:val="00571831"/>
    <w:rsid w:val="0057479E"/>
    <w:rsid w:val="0058308A"/>
    <w:rsid w:val="00597F18"/>
    <w:rsid w:val="005A17E1"/>
    <w:rsid w:val="005A426D"/>
    <w:rsid w:val="005B20EE"/>
    <w:rsid w:val="005C331C"/>
    <w:rsid w:val="0061066E"/>
    <w:rsid w:val="00622400"/>
    <w:rsid w:val="0063060A"/>
    <w:rsid w:val="006533A6"/>
    <w:rsid w:val="00677A87"/>
    <w:rsid w:val="006B7774"/>
    <w:rsid w:val="006D3189"/>
    <w:rsid w:val="006D6461"/>
    <w:rsid w:val="006E5ECD"/>
    <w:rsid w:val="006F676B"/>
    <w:rsid w:val="00723330"/>
    <w:rsid w:val="007371C4"/>
    <w:rsid w:val="00752E73"/>
    <w:rsid w:val="007854E9"/>
    <w:rsid w:val="007A2104"/>
    <w:rsid w:val="007C77C6"/>
    <w:rsid w:val="007E15DF"/>
    <w:rsid w:val="007E2FAB"/>
    <w:rsid w:val="007E3D0E"/>
    <w:rsid w:val="007F65FC"/>
    <w:rsid w:val="008111D0"/>
    <w:rsid w:val="008F0459"/>
    <w:rsid w:val="009078DC"/>
    <w:rsid w:val="00965C92"/>
    <w:rsid w:val="00994C8E"/>
    <w:rsid w:val="009B615A"/>
    <w:rsid w:val="009C5D67"/>
    <w:rsid w:val="009D1873"/>
    <w:rsid w:val="009E6884"/>
    <w:rsid w:val="009F3712"/>
    <w:rsid w:val="00A20880"/>
    <w:rsid w:val="00A355C3"/>
    <w:rsid w:val="00A558C4"/>
    <w:rsid w:val="00A74B81"/>
    <w:rsid w:val="00A750CC"/>
    <w:rsid w:val="00A86701"/>
    <w:rsid w:val="00A96B08"/>
    <w:rsid w:val="00AB137F"/>
    <w:rsid w:val="00AB7A42"/>
    <w:rsid w:val="00AE0640"/>
    <w:rsid w:val="00B56D91"/>
    <w:rsid w:val="00B82819"/>
    <w:rsid w:val="00B85700"/>
    <w:rsid w:val="00B86B5D"/>
    <w:rsid w:val="00B86DE1"/>
    <w:rsid w:val="00BC4457"/>
    <w:rsid w:val="00BD216B"/>
    <w:rsid w:val="00C3488E"/>
    <w:rsid w:val="00C535D3"/>
    <w:rsid w:val="00C67953"/>
    <w:rsid w:val="00C72243"/>
    <w:rsid w:val="00C9262C"/>
    <w:rsid w:val="00CC2DEE"/>
    <w:rsid w:val="00CE0B0E"/>
    <w:rsid w:val="00CE6A1F"/>
    <w:rsid w:val="00D030DA"/>
    <w:rsid w:val="00D16071"/>
    <w:rsid w:val="00D429DF"/>
    <w:rsid w:val="00D75041"/>
    <w:rsid w:val="00DB5CB6"/>
    <w:rsid w:val="00DD0AE6"/>
    <w:rsid w:val="00DD7600"/>
    <w:rsid w:val="00E10D7C"/>
    <w:rsid w:val="00E437A2"/>
    <w:rsid w:val="00E87E2D"/>
    <w:rsid w:val="00EC449D"/>
    <w:rsid w:val="00EE389C"/>
    <w:rsid w:val="00F124BB"/>
    <w:rsid w:val="00F207A2"/>
    <w:rsid w:val="00F35903"/>
    <w:rsid w:val="00F57456"/>
    <w:rsid w:val="00FE2AFE"/>
    <w:rsid w:val="00FF2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27DA3C-6118-464F-A680-0E10A0BA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4B"/>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Patient Reference Group Profile and Representation 2012</vt:lpstr>
    </vt:vector>
  </TitlesOfParts>
  <Company>Sussex HIS</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Reference Group Profile and Representation 2012</dc:title>
  <dc:subject/>
  <dc:creator>GP Tech</dc:creator>
  <cp:keywords/>
  <dc:description/>
  <cp:lastModifiedBy>Katy Morson</cp:lastModifiedBy>
  <cp:revision>2</cp:revision>
  <dcterms:created xsi:type="dcterms:W3CDTF">2015-07-21T10:59:00Z</dcterms:created>
  <dcterms:modified xsi:type="dcterms:W3CDTF">2015-07-21T10:59:00Z</dcterms:modified>
</cp:coreProperties>
</file>